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jc w:val="center"/>
        <w:rPr>
          <w:rFonts w:hint="eastAsia" w:ascii="方正小标宋简体" w:hAnsi="方正小标宋简体" w:eastAsia="方正小标宋简体" w:cs="方正小标宋简体"/>
          <w:b w:val="0"/>
          <w:bCs/>
          <w:color w:val="auto"/>
          <w:sz w:val="44"/>
          <w:szCs w:val="44"/>
          <w:lang w:val="en-US" w:eastAsia="zh-CN"/>
        </w:rPr>
      </w:pPr>
      <w:r>
        <w:rPr>
          <w:rFonts w:hint="eastAsia" w:ascii="方正小标宋简体" w:hAnsi="方正小标宋简体" w:eastAsia="方正小标宋简体" w:cs="方正小标宋简体"/>
          <w:b w:val="0"/>
          <w:bCs/>
          <w:color w:val="auto"/>
          <w:sz w:val="44"/>
          <w:szCs w:val="44"/>
          <w:lang w:val="en-US" w:eastAsia="zh-CN"/>
        </w:rPr>
        <w:t>贵州省粮油产品质量监督检验站</w:t>
      </w:r>
    </w:p>
    <w:p>
      <w:pPr>
        <w:spacing w:line="600" w:lineRule="auto"/>
        <w:jc w:val="center"/>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搬迁项目</w:t>
      </w:r>
      <w:r>
        <w:rPr>
          <w:rFonts w:hint="eastAsia" w:ascii="方正小标宋简体" w:hAnsi="方正小标宋简体" w:eastAsia="方正小标宋简体" w:cs="方正小标宋简体"/>
          <w:b w:val="0"/>
          <w:bCs/>
          <w:color w:val="auto"/>
          <w:sz w:val="44"/>
          <w:szCs w:val="44"/>
          <w:lang w:val="en-US" w:eastAsia="zh-CN"/>
        </w:rPr>
        <w:t>服务需</w:t>
      </w:r>
      <w:r>
        <w:rPr>
          <w:rFonts w:hint="eastAsia" w:ascii="方正小标宋简体" w:hAnsi="方正小标宋简体" w:eastAsia="方正小标宋简体" w:cs="方正小标宋简体"/>
          <w:b w:val="0"/>
          <w:bCs/>
          <w:color w:val="auto"/>
          <w:sz w:val="44"/>
          <w:szCs w:val="44"/>
        </w:rPr>
        <w:t>求</w:t>
      </w:r>
    </w:p>
    <w:p>
      <w:pPr>
        <w:rPr>
          <w:rFonts w:hint="eastAsia" w:ascii="宋体" w:hAnsi="宋体" w:eastAsia="宋体" w:cs="宋体"/>
          <w:b/>
          <w:color w:val="auto"/>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b/>
          <w:color w:val="auto"/>
          <w:sz w:val="32"/>
          <w:szCs w:val="32"/>
        </w:rPr>
      </w:pPr>
      <w:r>
        <w:rPr>
          <w:rFonts w:hint="eastAsia" w:ascii="黑体" w:hAnsi="黑体" w:eastAsia="黑体" w:cs="黑体"/>
          <w:b w:val="0"/>
          <w:bCs/>
          <w:color w:val="auto"/>
          <w:sz w:val="32"/>
          <w:szCs w:val="32"/>
        </w:rPr>
        <w:t>一、说明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本次采购内容为</w:t>
      </w:r>
      <w:r>
        <w:rPr>
          <w:rFonts w:hint="eastAsia" w:ascii="仿宋_GB2312" w:hAnsi="仿宋_GB2312" w:eastAsia="仿宋_GB2312" w:cs="仿宋_GB2312"/>
          <w:color w:val="auto"/>
          <w:sz w:val="32"/>
          <w:szCs w:val="32"/>
          <w:lang w:val="en-US" w:eastAsia="zh-CN"/>
        </w:rPr>
        <w:t>贵州省粮油产品质量监督检验站</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搬迁服务，服务商必须根据本采购文件约定的搬迁内容及要求，提供项目需要的工期进度计划、</w:t>
      </w:r>
      <w:r>
        <w:rPr>
          <w:rFonts w:hint="eastAsia" w:ascii="仿宋_GB2312" w:hAnsi="仿宋_GB2312" w:eastAsia="仿宋_GB2312" w:cs="仿宋_GB2312"/>
          <w:color w:val="auto"/>
          <w:sz w:val="32"/>
          <w:szCs w:val="32"/>
          <w:lang w:eastAsia="zh-CN"/>
        </w:rPr>
        <w:t>搬迁</w:t>
      </w:r>
      <w:r>
        <w:rPr>
          <w:rFonts w:hint="eastAsia" w:ascii="仿宋_GB2312" w:hAnsi="仿宋_GB2312" w:eastAsia="仿宋_GB2312" w:cs="仿宋_GB2312"/>
          <w:color w:val="auto"/>
          <w:sz w:val="32"/>
          <w:szCs w:val="32"/>
        </w:rPr>
        <w:t>方案、</w:t>
      </w:r>
      <w:r>
        <w:rPr>
          <w:rFonts w:hint="eastAsia" w:ascii="仿宋_GB2312" w:hAnsi="仿宋_GB2312" w:eastAsia="仿宋_GB2312" w:cs="仿宋_GB2312"/>
          <w:color w:val="auto"/>
          <w:sz w:val="32"/>
          <w:szCs w:val="32"/>
          <w:lang w:eastAsia="zh-CN"/>
        </w:rPr>
        <w:t>搬迁</w:t>
      </w:r>
      <w:r>
        <w:rPr>
          <w:rFonts w:hint="eastAsia" w:ascii="仿宋_GB2312" w:hAnsi="仿宋_GB2312" w:eastAsia="仿宋_GB2312" w:cs="仿宋_GB2312"/>
          <w:color w:val="auto"/>
          <w:sz w:val="32"/>
          <w:szCs w:val="32"/>
        </w:rPr>
        <w:t>组织等方案。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服务商应注意竞标的风险，认真阅读和理解采购文件，必须具有同类型</w:t>
      </w:r>
      <w:r>
        <w:rPr>
          <w:rFonts w:hint="eastAsia" w:ascii="仿宋_GB2312" w:hAnsi="仿宋_GB2312" w:eastAsia="仿宋_GB2312" w:cs="仿宋_GB2312"/>
          <w:color w:val="auto"/>
          <w:sz w:val="32"/>
          <w:szCs w:val="32"/>
          <w:lang w:val="en-US" w:eastAsia="zh-CN"/>
        </w:rPr>
        <w:t>实验室搬迁经验</w:t>
      </w:r>
      <w:r>
        <w:rPr>
          <w:rFonts w:hint="eastAsia" w:ascii="仿宋_GB2312" w:hAnsi="仿宋_GB2312" w:eastAsia="仿宋_GB2312" w:cs="仿宋_GB2312"/>
          <w:color w:val="auto"/>
          <w:sz w:val="32"/>
          <w:szCs w:val="32"/>
        </w:rPr>
        <w:t>，搬迁过程中搬迁物品若有损坏</w:t>
      </w:r>
      <w:r>
        <w:rPr>
          <w:rFonts w:hint="eastAsia" w:ascii="仿宋_GB2312" w:hAnsi="仿宋_GB2312" w:eastAsia="仿宋_GB2312" w:cs="仿宋_GB2312"/>
          <w:color w:val="auto"/>
          <w:sz w:val="32"/>
          <w:szCs w:val="32"/>
          <w:lang w:val="en-US" w:eastAsia="zh-CN"/>
        </w:rPr>
        <w:t>应照价赔偿</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二、服务商资质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（一）服务商符合《中华人民共和国政府采购法》第二十二条之</w:t>
      </w:r>
      <w:r>
        <w:rPr>
          <w:rFonts w:hint="eastAsia" w:ascii="宋体" w:hAnsi="宋体" w:eastAsia="宋体" w:cs="宋体"/>
          <w:color w:val="auto"/>
          <w:sz w:val="28"/>
          <w:szCs w:val="28"/>
        </w:rPr>
        <w:t>供</w:t>
      </w:r>
      <w:r>
        <w:rPr>
          <w:rFonts w:hint="eastAsia" w:ascii="仿宋_GB2312" w:hAnsi="仿宋_GB2312" w:eastAsia="仿宋_GB2312" w:cs="仿宋_GB2312"/>
          <w:color w:val="auto"/>
          <w:sz w:val="32"/>
          <w:szCs w:val="32"/>
          <w:lang w:eastAsia="zh-CN"/>
        </w:rPr>
        <w:t>应商资格条件要求，提供下列材料：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法人或者其他组织的营业执照等证明文件，自然人的身份证明。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财务状况报告，依法缴纳税收和社会保障资金的相关材料。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具备履行合同所必需的设备和专业技术能力的证明材料。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本项目不接受联合体进行竞标。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三、项目内容及相关需求</w:t>
      </w:r>
    </w:p>
    <w:p>
      <w:pPr>
        <w:pStyle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（一）项目简介：贵州省粮油产品质量监督检验站搬迁项目包含实验室仪器设备、实验台桌、通风设施、办公家具、办公设备等。</w:t>
      </w:r>
    </w:p>
    <w:p>
      <w:pPr>
        <w:pStyle w:val="2"/>
        <w:ind w:left="0" w:leftChars="0"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搬迁地址：现地址为“贵阳市云岩区延安中路一号振华科技大厦”，搬迁新址为“贵安新区西南粮食城调控交易中心”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（二）项目内容及要求：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办公室家具及办公设备（包含办公桌椅，柜子，电脑、打印机、投影仪、电视等）：办公家具搬运时，应进行拆装，拆装后应套上外包装，轻搬轻放。运输到指定地点重新安装放置后，应进行适当调整，保持正常使用状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2.实验室仪器设备：服务商负责在我单位安排的专业工程师指导下打包，将仪器设备安全运送并搬移至指定地点，并在我单位安排的专业工程师指导下拆包。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3.实验室家具及通风设施（包含单面实验台、中央实验台、转角台、水槽、生物安全柜等）：服务商负责拆卸并运送到指定点安装或利用现有材料进行改装、维修等。</w:t>
      </w:r>
    </w:p>
    <w:p>
      <w:pPr>
        <w:ind w:firstLine="640" w:firstLineChars="200"/>
        <w:jc w:val="both"/>
        <w:rPr>
          <w:rFonts w:hint="eastAsia"/>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服务商</w:t>
      </w:r>
      <w:r>
        <w:rPr>
          <w:rFonts w:hint="eastAsia" w:ascii="仿宋_GB2312" w:hAnsi="仿宋_GB2312" w:eastAsia="仿宋_GB2312" w:cs="仿宋_GB2312"/>
          <w:color w:val="auto"/>
          <w:sz w:val="32"/>
          <w:szCs w:val="32"/>
          <w:lang w:val="en-US" w:eastAsia="zh-CN"/>
        </w:rPr>
        <w:t>提供本次搬迁所需的包装材料。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四、搬迁原则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安全第一、分批实施、协调运作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由于搬迁地点的特殊性，根据本站搬迁要求，分阶段实施搬迁。搬迁时间定于工作日晚上9点后或周末进行搬迁工作；服务商应在</w:t>
      </w:r>
      <w:r>
        <w:rPr>
          <w:rFonts w:hint="eastAsia" w:ascii="仿宋_GB2312" w:hAnsi="仿宋_GB2312" w:eastAsia="仿宋_GB2312" w:cs="仿宋_GB2312"/>
          <w:color w:val="auto"/>
          <w:sz w:val="32"/>
          <w:szCs w:val="32"/>
        </w:rPr>
        <w:t>规定的时间内采用大型搬家车辆完成搬迁工作，并做好卫生保洁工作。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充分准备，制定成熟、合理、详细可行的搬迁方案，并有序实施。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所有搬迁物品均需进行防撞、防震、防雨包装，保证安装到位后无损坏、无刮擦。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color w:val="auto"/>
          <w:sz w:val="28"/>
          <w:szCs w:val="28"/>
        </w:rPr>
      </w:pPr>
      <w:r>
        <w:rPr>
          <w:rFonts w:hint="eastAsia" w:ascii="黑体" w:hAnsi="黑体" w:eastAsia="黑体" w:cs="黑体"/>
          <w:b w:val="0"/>
          <w:bCs/>
          <w:color w:val="auto"/>
          <w:sz w:val="32"/>
          <w:szCs w:val="32"/>
        </w:rPr>
        <w:t>五、 搬迁要求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此次服务商要遵循本站提供的搬迁原则和搬迁时间要求，按照设施、设备的特性和重要性制定相应的搬迁方案、措施。服务商要在搬迁前对整个搬迁方案考虑到各种可能的风险，并提供相应的预防措施、补救措施，最大程度保证仪器、设备和数据的安全。以下要求服务商须完全满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（一）服务商须提供一套成熟、完整的搬迁方案。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（二）服务商须提供整个搬迁项目的各方职责分工及其界面，需定义清晰，不得存在模棱两可的情况（如出现定义的不清晰的内容，则视为服务商免费提供该项服务）。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（三）搬迁过程中与本站共同核定搬迁</w:t>
      </w:r>
      <w:r>
        <w:rPr>
          <w:rFonts w:hint="eastAsia" w:ascii="仿宋_GB2312" w:hAnsi="仿宋_GB2312" w:eastAsia="仿宋_GB2312" w:cs="仿宋_GB2312"/>
          <w:color w:val="auto"/>
          <w:sz w:val="32"/>
          <w:szCs w:val="32"/>
        </w:rPr>
        <w:t>物品及设备</w:t>
      </w:r>
      <w:r>
        <w:rPr>
          <w:rFonts w:hint="eastAsia" w:ascii="仿宋_GB2312" w:hAnsi="仿宋_GB2312" w:eastAsia="仿宋_GB2312" w:cs="仿宋_GB2312"/>
          <w:color w:val="auto"/>
          <w:sz w:val="32"/>
          <w:szCs w:val="32"/>
          <w:lang w:eastAsia="zh-CN"/>
        </w:rPr>
        <w:t>数量。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rPr>
        <w:t>物品及设备的放置须服从</w:t>
      </w:r>
      <w:r>
        <w:rPr>
          <w:rFonts w:hint="eastAsia" w:ascii="仿宋_GB2312" w:hAnsi="仿宋_GB2312" w:eastAsia="仿宋_GB2312" w:cs="仿宋_GB2312"/>
          <w:color w:val="auto"/>
          <w:sz w:val="32"/>
          <w:szCs w:val="32"/>
          <w:lang w:eastAsia="zh-CN"/>
        </w:rPr>
        <w:t>本站使用科室</w:t>
      </w:r>
      <w:r>
        <w:rPr>
          <w:rFonts w:hint="eastAsia" w:ascii="仿宋_GB2312" w:hAnsi="仿宋_GB2312" w:eastAsia="仿宋_GB2312" w:cs="仿宋_GB2312"/>
          <w:color w:val="auto"/>
          <w:sz w:val="32"/>
          <w:szCs w:val="32"/>
        </w:rPr>
        <w:t>安排。</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服务商</w:t>
      </w:r>
      <w:r>
        <w:rPr>
          <w:rFonts w:hint="eastAsia" w:ascii="仿宋_GB2312" w:hAnsi="仿宋_GB2312" w:eastAsia="仿宋_GB2312" w:cs="仿宋_GB2312"/>
          <w:color w:val="auto"/>
          <w:sz w:val="32"/>
          <w:szCs w:val="32"/>
        </w:rPr>
        <w:t>对特定设备的搬迁，搬迁人员应遵循安全原则佩戴防静电手套等防护装备，设备搬迁过程中尽量做到轻放，避免碰撞。</w:t>
      </w:r>
    </w:p>
    <w:p>
      <w:pPr>
        <w:pStyle w:val="2"/>
        <w:ind w:left="0" w:leftChars="0"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（六）服务商在</w:t>
      </w:r>
      <w:r>
        <w:rPr>
          <w:rFonts w:hint="eastAsia" w:ascii="仿宋_GB2312" w:hAnsi="仿宋_GB2312" w:eastAsia="仿宋_GB2312" w:cs="仿宋_GB2312"/>
          <w:color w:val="auto"/>
          <w:sz w:val="32"/>
          <w:szCs w:val="32"/>
        </w:rPr>
        <w:t>搬迁时应按要求对电闸、水阀、气阀做相应处理，确保搬迁安全，须安排专人负责</w:t>
      </w:r>
      <w:r>
        <w:rPr>
          <w:rFonts w:hint="eastAsia" w:ascii="仿宋_GB2312" w:hAnsi="仿宋_GB2312" w:eastAsia="仿宋_GB2312" w:cs="仿宋_GB2312"/>
          <w:color w:val="auto"/>
          <w:sz w:val="32"/>
          <w:szCs w:val="32"/>
          <w:lang w:eastAsia="zh-CN"/>
        </w:rPr>
        <w:t>。</w:t>
      </w:r>
    </w:p>
    <w:p>
      <w:pPr>
        <w:pStyle w:val="2"/>
        <w:ind w:left="0" w:leftChars="0"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（七）服务商对在搬迁过程中搬迁人员及车辆安全负责。</w:t>
      </w:r>
    </w:p>
    <w:p>
      <w:pPr>
        <w:rPr>
          <w:rFonts w:hint="eastAsia" w:ascii="黑体" w:hAnsi="黑体" w:eastAsia="黑体" w:cs="黑体"/>
          <w:b w:val="0"/>
          <w:bCs/>
          <w:color w:val="auto"/>
          <w:sz w:val="32"/>
          <w:szCs w:val="32"/>
        </w:rPr>
      </w:pPr>
      <w:r>
        <w:rPr>
          <w:rFonts w:hint="eastAsia" w:ascii="宋体" w:hAnsi="宋体" w:eastAsia="宋体" w:cs="宋体"/>
          <w:color w:val="auto"/>
          <w:sz w:val="28"/>
          <w:szCs w:val="28"/>
        </w:rPr>
        <w:br w:type="page"/>
      </w:r>
    </w:p>
    <w:p>
      <w:pPr>
        <w:ind w:firstLine="640" w:firstLineChars="200"/>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六、主要搬迁设备清单</w:t>
      </w:r>
    </w:p>
    <w:p>
      <w:pPr>
        <w:pStyle w:val="2"/>
        <w:ind w:left="0" w:leftChars="0" w:firstLine="640" w:firstLineChars="200"/>
        <w:rPr>
          <w:rFonts w:hint="eastAsia" w:ascii="楷体_GB2312" w:hAnsi="楷体_GB2312" w:eastAsia="楷体_GB2312" w:cs="楷体_GB2312"/>
          <w:b w:val="0"/>
          <w:bCs/>
          <w:color w:val="auto"/>
          <w:sz w:val="32"/>
          <w:szCs w:val="32"/>
          <w:lang w:eastAsia="zh-CN"/>
        </w:rPr>
      </w:pPr>
      <w:r>
        <w:rPr>
          <w:rFonts w:hint="eastAsia" w:ascii="楷体_GB2312" w:hAnsi="楷体_GB2312" w:eastAsia="楷体_GB2312" w:cs="楷体_GB2312"/>
          <w:b w:val="0"/>
          <w:bCs/>
          <w:color w:val="auto"/>
          <w:sz w:val="32"/>
          <w:szCs w:val="32"/>
          <w:lang w:eastAsia="zh-CN"/>
        </w:rPr>
        <w:t>（一）八楼办公区域</w:t>
      </w:r>
    </w:p>
    <w:tbl>
      <w:tblPr>
        <w:tblStyle w:val="7"/>
        <w:tblW w:w="82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35"/>
        <w:gridCol w:w="2428"/>
        <w:gridCol w:w="2027"/>
        <w:gridCol w:w="27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i w:val="0"/>
                <w:color w:val="auto"/>
                <w:sz w:val="28"/>
                <w:szCs w:val="28"/>
                <w:u w:val="none"/>
              </w:rPr>
            </w:pPr>
            <w:r>
              <w:rPr>
                <w:rFonts w:hint="eastAsia" w:ascii="宋体" w:hAnsi="宋体" w:eastAsia="宋体" w:cs="宋体"/>
                <w:b/>
                <w:i w:val="0"/>
                <w:color w:val="auto"/>
                <w:kern w:val="0"/>
                <w:sz w:val="28"/>
                <w:szCs w:val="28"/>
                <w:u w:val="none"/>
                <w:lang w:val="en-US" w:eastAsia="zh-CN" w:bidi="ar"/>
              </w:rPr>
              <w:t>序号</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i w:val="0"/>
                <w:color w:val="auto"/>
                <w:sz w:val="28"/>
                <w:szCs w:val="28"/>
                <w:u w:val="none"/>
              </w:rPr>
            </w:pPr>
            <w:r>
              <w:rPr>
                <w:rFonts w:hint="eastAsia" w:ascii="宋体" w:hAnsi="宋体" w:eastAsia="宋体" w:cs="宋体"/>
                <w:b/>
                <w:i w:val="0"/>
                <w:color w:val="auto"/>
                <w:kern w:val="0"/>
                <w:sz w:val="28"/>
                <w:szCs w:val="28"/>
                <w:u w:val="none"/>
                <w:lang w:val="en-US" w:eastAsia="zh-CN" w:bidi="ar"/>
              </w:rPr>
              <w:t>名     称</w:t>
            </w:r>
          </w:p>
        </w:tc>
        <w:tc>
          <w:tcPr>
            <w:tcW w:w="20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auto"/>
                <w:sz w:val="28"/>
                <w:szCs w:val="28"/>
                <w:u w:val="none"/>
              </w:rPr>
            </w:pPr>
            <w:r>
              <w:rPr>
                <w:rFonts w:hint="eastAsia" w:ascii="宋体" w:hAnsi="宋体" w:eastAsia="宋体" w:cs="宋体"/>
                <w:b/>
                <w:i w:val="0"/>
                <w:color w:val="auto"/>
                <w:kern w:val="0"/>
                <w:sz w:val="28"/>
                <w:szCs w:val="28"/>
                <w:u w:val="none"/>
                <w:lang w:val="en-US" w:eastAsia="zh-CN" w:bidi="ar"/>
              </w:rPr>
              <w:t>数量</w:t>
            </w:r>
            <w:r>
              <w:rPr>
                <w:rFonts w:hint="eastAsia" w:ascii="宋体" w:hAnsi="宋体" w:eastAsia="宋体" w:cs="宋体"/>
                <w:b/>
                <w:i w:val="0"/>
                <w:color w:val="auto"/>
                <w:kern w:val="0"/>
                <w:sz w:val="28"/>
                <w:szCs w:val="28"/>
                <w:u w:val="none"/>
                <w:lang w:val="en-US" w:eastAsia="zh-CN" w:bidi="ar"/>
              </w:rPr>
              <w:br w:type="textWrapping"/>
            </w:r>
            <w:r>
              <w:rPr>
                <w:rFonts w:hint="eastAsia" w:ascii="宋体" w:hAnsi="宋体" w:eastAsia="宋体" w:cs="宋体"/>
                <w:b/>
                <w:i w:val="0"/>
                <w:color w:val="auto"/>
                <w:kern w:val="0"/>
                <w:sz w:val="28"/>
                <w:szCs w:val="28"/>
                <w:u w:val="none"/>
                <w:lang w:val="en-US" w:eastAsia="zh-CN" w:bidi="ar"/>
              </w:rPr>
              <w:t>（台/套）</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i w:val="0"/>
                <w:color w:val="auto"/>
                <w:sz w:val="28"/>
                <w:szCs w:val="28"/>
                <w:u w:val="none"/>
              </w:rPr>
            </w:pPr>
            <w:r>
              <w:rPr>
                <w:rFonts w:hint="eastAsia" w:ascii="宋体" w:hAnsi="宋体" w:eastAsia="宋体" w:cs="宋体"/>
                <w:b/>
                <w:i w:val="0"/>
                <w:color w:val="auto"/>
                <w:kern w:val="0"/>
                <w:sz w:val="28"/>
                <w:szCs w:val="28"/>
                <w:u w:val="none"/>
                <w:lang w:val="en-US" w:eastAsia="zh-CN" w:bidi="ar"/>
              </w:rPr>
              <w:t>备    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电    脑</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46</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2</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智能会议一体机</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3</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电视机</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3</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4</w:t>
            </w:r>
          </w:p>
        </w:tc>
        <w:tc>
          <w:tcPr>
            <w:tcW w:w="24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lang w:eastAsia="zh-CN"/>
              </w:rPr>
            </w:pPr>
            <w:r>
              <w:rPr>
                <w:rFonts w:hint="eastAsia" w:ascii="宋体" w:hAnsi="宋体" w:eastAsia="宋体" w:cs="宋体"/>
                <w:i w:val="0"/>
                <w:color w:val="auto"/>
                <w:sz w:val="24"/>
                <w:szCs w:val="24"/>
                <w:u w:val="none"/>
                <w:lang w:eastAsia="zh-CN"/>
              </w:rPr>
              <w:t>机房电器</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一批</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服务器、显示器、交换机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5</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打印机</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22</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6</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综合科小家电一批</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一批</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lang w:eastAsia="zh-CN"/>
              </w:rPr>
            </w:pPr>
            <w:r>
              <w:rPr>
                <w:rFonts w:hint="eastAsia" w:ascii="宋体" w:hAnsi="宋体" w:eastAsia="宋体" w:cs="宋体"/>
                <w:i w:val="0"/>
                <w:color w:val="auto"/>
                <w:sz w:val="24"/>
                <w:szCs w:val="24"/>
                <w:u w:val="none"/>
                <w:lang w:eastAsia="zh-CN"/>
              </w:rPr>
              <w:t>含</w:t>
            </w:r>
            <w:r>
              <w:rPr>
                <w:rFonts w:hint="eastAsia" w:ascii="宋体" w:hAnsi="宋体" w:eastAsia="宋体" w:cs="宋体"/>
                <w:i w:val="0"/>
                <w:color w:val="auto"/>
                <w:kern w:val="0"/>
                <w:sz w:val="24"/>
                <w:szCs w:val="24"/>
                <w:u w:val="none"/>
                <w:lang w:val="en-US" w:eastAsia="zh-CN" w:bidi="ar"/>
              </w:rPr>
              <w:t>摄像机、传真机、保险柜、验钞机、会计凭证装订机、打孔机、微波炉等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7</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碎纸机</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5</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8</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饮水机</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9</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9</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电风扇</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6</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10</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冰    箱</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11</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办公桌</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20</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12</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茶水柜、茶几</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12</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13</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5米会议桌</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14</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条    桌</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11</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15</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椅    子</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55</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16</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柜    子</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100</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17</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沙    发</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25</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18</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样品陈列架</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12</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19</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拉杆扦样箱</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6</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5"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20</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扦样工具</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p>
        </w:tc>
        <w:tc>
          <w:tcPr>
            <w:tcW w:w="27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插签、扦样包、扦样摄像头、样品推车、样品收纳盒、标签机、扦样器、油     壶、头盔等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21</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低温储藏柜</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2</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22</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机架、机柜</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2</w:t>
            </w:r>
          </w:p>
        </w:tc>
        <w:tc>
          <w:tcPr>
            <w:tcW w:w="27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机房放置服务器架子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1"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23</w:t>
            </w:r>
          </w:p>
        </w:tc>
        <w:tc>
          <w:tcPr>
            <w:tcW w:w="24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行政、人事、财务相关资料</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一批</w:t>
            </w:r>
          </w:p>
        </w:tc>
        <w:tc>
          <w:tcPr>
            <w:tcW w:w="27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需现场查看，根据纸箱大小确定箱数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10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24</w:t>
            </w:r>
          </w:p>
        </w:tc>
        <w:tc>
          <w:tcPr>
            <w:tcW w:w="24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样品、资料</w:t>
            </w:r>
          </w:p>
        </w:tc>
        <w:tc>
          <w:tcPr>
            <w:tcW w:w="20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约10箱</w:t>
            </w:r>
          </w:p>
        </w:tc>
        <w:tc>
          <w:tcPr>
            <w:tcW w:w="27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样品现有450份，5月底可处理样品200份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3" w:hRule="atLeast"/>
        </w:trPr>
        <w:tc>
          <w:tcPr>
            <w:tcW w:w="1035"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25</w:t>
            </w:r>
          </w:p>
        </w:tc>
        <w:tc>
          <w:tcPr>
            <w:tcW w:w="2428"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检验报告等资料</w:t>
            </w:r>
          </w:p>
        </w:tc>
        <w:tc>
          <w:tcPr>
            <w:tcW w:w="2027"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约10箱</w:t>
            </w:r>
          </w:p>
        </w:tc>
        <w:tc>
          <w:tcPr>
            <w:tcW w:w="2760"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1035"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26</w:t>
            </w:r>
          </w:p>
        </w:tc>
        <w:tc>
          <w:tcPr>
            <w:tcW w:w="2428"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办公区域杂物</w:t>
            </w:r>
          </w:p>
        </w:tc>
        <w:tc>
          <w:tcPr>
            <w:tcW w:w="2027"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一批</w:t>
            </w:r>
          </w:p>
        </w:tc>
        <w:tc>
          <w:tcPr>
            <w:tcW w:w="2760"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8250" w:type="dxa"/>
            <w:gridSpan w:val="4"/>
            <w:tcBorders>
              <w:top w:val="nil"/>
              <w:left w:val="nil"/>
              <w:bottom w:val="nil"/>
              <w:right w:val="nil"/>
            </w:tcBorders>
            <w:shd w:val="clear" w:color="auto" w:fill="auto"/>
            <w:noWrap/>
            <w:vAlign w:val="center"/>
          </w:tcPr>
          <w:p>
            <w:pPr>
              <w:ind w:firstLine="240" w:firstLineChars="100"/>
              <w:jc w:val="left"/>
              <w:rPr>
                <w:rFonts w:hint="eastAsia" w:ascii="宋体" w:hAnsi="宋体" w:eastAsia="宋体" w:cs="宋体"/>
                <w:i w:val="0"/>
                <w:color w:val="auto"/>
                <w:sz w:val="24"/>
                <w:szCs w:val="24"/>
                <w:u w:val="none"/>
                <w:lang w:eastAsia="zh-CN"/>
              </w:rPr>
            </w:pPr>
            <w:r>
              <w:rPr>
                <w:rFonts w:hint="eastAsia" w:ascii="宋体" w:hAnsi="宋体" w:eastAsia="宋体" w:cs="宋体"/>
                <w:i w:val="0"/>
                <w:color w:val="auto"/>
                <w:sz w:val="24"/>
                <w:szCs w:val="24"/>
                <w:u w:val="none"/>
                <w:lang w:eastAsia="zh-CN"/>
              </w:rPr>
              <w:t>（</w:t>
            </w:r>
            <w:r>
              <w:rPr>
                <w:rFonts w:hint="eastAsia" w:ascii="楷体_GB2312" w:hAnsi="楷体_GB2312" w:eastAsia="楷体_GB2312" w:cs="楷体_GB2312"/>
                <w:b w:val="0"/>
                <w:bCs/>
                <w:color w:val="auto"/>
                <w:kern w:val="2"/>
                <w:sz w:val="32"/>
                <w:szCs w:val="32"/>
                <w:lang w:val="en-US" w:eastAsia="zh-CN" w:bidi="ar-SA"/>
              </w:rPr>
              <w:t>二）九楼实验室区域</w:t>
            </w:r>
          </w:p>
        </w:tc>
      </w:tr>
    </w:tbl>
    <w:tbl>
      <w:tblPr>
        <w:tblStyle w:val="7"/>
        <w:tblpPr w:leftFromText="180" w:rightFromText="180" w:vertAnchor="text" w:horzAnchor="page" w:tblpX="2073" w:tblpY="403"/>
        <w:tblOverlap w:val="never"/>
        <w:tblW w:w="473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3"/>
        <w:gridCol w:w="1479"/>
        <w:gridCol w:w="1478"/>
        <w:gridCol w:w="1442"/>
        <w:gridCol w:w="29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放置地点</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仪器名称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数量</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物检室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分样器</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小麦粉加工精度仪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粘度仪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体积测定仪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快检设备</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硬度粘度仪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化检室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脂肪酸值测定仪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电位滴定仪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烤炉</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纤维测定仪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粗脂肪测定仪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离心机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连续流动分析仪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纯水机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天平（十万分之一）</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热工室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烘箱</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马弗炉</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面粉室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和面机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压面机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粉质仪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拉伸仪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降落数值仪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磨粉机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一体出白机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26</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８楼活动室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面条机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27</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醒发箱</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28</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吹泡仪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29</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８楼资料室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真空烘箱</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固相萃取仪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31</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微波消解仪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32</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气相室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杜马斯</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33</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气质</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34</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气质质</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离子色谱</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36</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气相色谱仪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39</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氮吹仪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延时电源</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41</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液相室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液－质谱联用仪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42</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合相色谱仪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43</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高效液相色谱仪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44</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超高效</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酶标仪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46</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延时电源</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47</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微生物室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灭菌锅</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48</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生化培养箱</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49</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隔水式培养箱</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50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宾得培养箱</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51</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荧光定量PCR测定仪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52</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光谱室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原子吸收</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53</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LC-ICP-MS </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54</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原子荧光</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全自动测汞仪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56</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酸逆流清洗仪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57</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微波消解仪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58</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酸纯化仪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59</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赶酸机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离心机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61</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延时电源</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62</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紫外分光光谱仪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63</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保洁室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洗衣机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64</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标准溶液制备室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冰箱</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冰箱</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66</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单开门冷藏柜</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67</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砻谷机</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68</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锤式旋风磨</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69</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水分磨</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碾米机（大）</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71</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面筋洗涤仪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72</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真空泵</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73</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旋转蒸发仪</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74</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恒温箱</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数显水浴恒温振荡器</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协助打包及搬运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423"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auto"/>
                <w:sz w:val="28"/>
                <w:szCs w:val="28"/>
                <w:u w:val="none"/>
              </w:rPr>
            </w:pPr>
          </w:p>
        </w:tc>
        <w:tc>
          <w:tcPr>
            <w:tcW w:w="916" w:type="pct"/>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auto"/>
                <w:sz w:val="28"/>
                <w:szCs w:val="28"/>
                <w:u w:val="none"/>
              </w:rPr>
            </w:pPr>
          </w:p>
        </w:tc>
        <w:tc>
          <w:tcPr>
            <w:tcW w:w="893" w:type="pct"/>
            <w:tcBorders>
              <w:top w:val="nil"/>
              <w:left w:val="nil"/>
              <w:bottom w:val="nil"/>
              <w:right w:val="nil"/>
            </w:tcBorders>
            <w:shd w:val="clear" w:color="auto" w:fill="auto"/>
            <w:noWrap/>
            <w:vAlign w:val="center"/>
          </w:tcPr>
          <w:p>
            <w:pPr>
              <w:rPr>
                <w:rFonts w:hint="eastAsia" w:ascii="宋体" w:hAnsi="宋体" w:eastAsia="宋体" w:cs="宋体"/>
                <w:b/>
                <w:bCs/>
                <w:i w:val="0"/>
                <w:iCs w:val="0"/>
                <w:color w:val="auto"/>
                <w:sz w:val="28"/>
                <w:szCs w:val="28"/>
                <w:u w:val="none"/>
              </w:rPr>
            </w:pPr>
          </w:p>
        </w:tc>
        <w:tc>
          <w:tcPr>
            <w:tcW w:w="1849" w:type="pct"/>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实验室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桌型</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数量</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76</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微生物实验室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77</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单面实验台（带水槽）</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78</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全钢实验台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79</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全钢实验台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80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单面实验台（带水槽）</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81</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单面实验台（带水槽）</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82</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面粉室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83</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84</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转角实验台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86</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87</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88</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气相色谱室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单面实验台（带水槽）</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89</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91</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转角实验台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92</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93</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94</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物理检验室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96</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中央台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97</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98</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转角实验台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99</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100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转角实验台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101</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102</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保洁室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单面实验台（带水槽）</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103</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化学检验室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104</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105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中央台（带水槽）</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106</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热工室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107</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108</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天平室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109</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液相色谱室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110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办公桌</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111</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单面实验台（带水槽）</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112</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113</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114</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转角实验台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116</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小型仪器室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117</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118</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119</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单面实验台（带水槽）</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标准溶液制备室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单面实验台（带水槽）</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121</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光谱室</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122</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123</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124</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单面实验台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126</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转角实验台</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127</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药品柜</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128</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器皿柜</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129</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气瓶柜</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130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低温柜</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131</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生物安全柜</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含拆装搬运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132</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监控系统</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1批</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含监控利旧（摄像头9个，配套的交换机）、新增监控、新增交换机、网线布线等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其 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搬迁用纸箱(大)</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约300个</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打包包装材料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搬迁用纸箱(小)</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约50个</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打包包装材料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仪器包装用气泡膜</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约10卷</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打包包装材料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其它包装物(胶带,记号笔等)</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1批</w:t>
            </w:r>
          </w:p>
        </w:tc>
        <w:tc>
          <w:tcPr>
            <w:tcW w:w="18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打包包装材料</w:t>
            </w:r>
          </w:p>
        </w:tc>
      </w:tr>
    </w:tbl>
    <w:p>
      <w:pPr>
        <w:ind w:firstLine="640" w:firstLineChars="200"/>
        <w:rPr>
          <w:rFonts w:hint="eastAsia" w:ascii="黑体" w:hAnsi="黑体" w:eastAsia="黑体" w:cs="黑体"/>
          <w:b w:val="0"/>
          <w:bCs/>
          <w:color w:val="auto"/>
          <w:sz w:val="32"/>
          <w:szCs w:val="32"/>
          <w:lang w:val="en-US" w:eastAsia="zh-CN"/>
        </w:rPr>
      </w:pPr>
      <w:bookmarkStart w:id="0" w:name="_GoBack"/>
      <w:bookmarkEnd w:id="0"/>
    </w:p>
    <w:p>
      <w:pPr>
        <w:ind w:firstLine="640" w:firstLineChars="200"/>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七、评分标准</w:t>
      </w:r>
    </w:p>
    <w:p>
      <w:pPr>
        <w:pStyle w:val="2"/>
        <w:numPr>
          <w:ilvl w:val="0"/>
          <w:numId w:val="0"/>
        </w:numPr>
        <w:rPr>
          <w:rFonts w:hint="eastAsia"/>
          <w:color w:val="auto"/>
          <w:lang w:val="en-US" w:eastAsia="zh-CN"/>
        </w:rPr>
      </w:pPr>
    </w:p>
    <w:tbl>
      <w:tblPr>
        <w:tblStyle w:val="8"/>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953"/>
        <w:gridCol w:w="4884"/>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noWrap w:val="0"/>
            <w:vAlign w:val="center"/>
          </w:tcPr>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评分项</w:t>
            </w:r>
          </w:p>
        </w:tc>
        <w:tc>
          <w:tcPr>
            <w:tcW w:w="953" w:type="dxa"/>
            <w:noWrap w:val="0"/>
            <w:vAlign w:val="center"/>
          </w:tcPr>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总分值</w:t>
            </w:r>
          </w:p>
        </w:tc>
        <w:tc>
          <w:tcPr>
            <w:tcW w:w="4884" w:type="dxa"/>
            <w:noWrap w:val="0"/>
            <w:vAlign w:val="center"/>
          </w:tcPr>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评分标准</w:t>
            </w:r>
          </w:p>
        </w:tc>
        <w:tc>
          <w:tcPr>
            <w:tcW w:w="1483" w:type="dxa"/>
            <w:noWrap w:val="0"/>
            <w:vAlign w:val="center"/>
          </w:tcPr>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分项分值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noWrap w:val="0"/>
            <w:vAlign w:val="center"/>
          </w:tcPr>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报价分</w:t>
            </w:r>
          </w:p>
        </w:tc>
        <w:tc>
          <w:tcPr>
            <w:tcW w:w="953" w:type="dxa"/>
            <w:noWrap w:val="0"/>
            <w:vAlign w:val="center"/>
          </w:tcPr>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30分</w:t>
            </w:r>
          </w:p>
        </w:tc>
        <w:tc>
          <w:tcPr>
            <w:tcW w:w="4884" w:type="dxa"/>
            <w:noWrap w:val="0"/>
            <w:vAlign w:val="center"/>
          </w:tcPr>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szCs w:val="21"/>
              </w:rPr>
              <w:t>综合评分法中的价格分统一采用低价优先法计算，即通过资格审查、实质性响应且最后报价价格最低的投标报价为评标基准价，其价格分为满分。其他投标人的价格分统一按照下列公式计算：投标报价得分=(评标基准价／投标报价)×价格权值×100</w:t>
            </w:r>
          </w:p>
        </w:tc>
        <w:tc>
          <w:tcPr>
            <w:tcW w:w="1483" w:type="dxa"/>
            <w:noWrap w:val="0"/>
            <w:vAlign w:val="center"/>
          </w:tcPr>
          <w:p>
            <w:pPr>
              <w:pStyle w:val="3"/>
              <w:jc w:val="center"/>
              <w:rPr>
                <w:rFonts w:hint="default" w:ascii="宋体" w:hAnsi="宋体" w:eastAsia="宋体" w:cs="宋体"/>
                <w:color w:val="auto"/>
                <w:shd w:val="clear" w:color="auto" w:fill="FFFF00"/>
                <w:vertAlign w:val="baseline"/>
                <w:lang w:val="en-US" w:eastAsia="zh-CN"/>
              </w:rPr>
            </w:pPr>
            <w:r>
              <w:rPr>
                <w:rFonts w:hint="eastAsia" w:ascii="宋体" w:hAnsi="宋体" w:eastAsia="宋体" w:cs="宋体"/>
                <w:color w:val="auto"/>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vMerge w:val="restart"/>
            <w:noWrap w:val="0"/>
            <w:vAlign w:val="center"/>
          </w:tcPr>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技术分</w:t>
            </w:r>
          </w:p>
        </w:tc>
        <w:tc>
          <w:tcPr>
            <w:tcW w:w="953" w:type="dxa"/>
            <w:vMerge w:val="restart"/>
            <w:noWrap w:val="0"/>
            <w:vAlign w:val="center"/>
          </w:tcPr>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46分</w:t>
            </w:r>
          </w:p>
        </w:tc>
        <w:tc>
          <w:tcPr>
            <w:tcW w:w="4884" w:type="dxa"/>
            <w:noWrap w:val="0"/>
            <w:vAlign w:val="center"/>
          </w:tcPr>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搬迁安装调试方案:</w:t>
            </w:r>
          </w:p>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1、投标供应商根据本项目的实际情况拟定的搬迁安装调试方案的科学性合理、可操作性强、技术措施切实有效，充分满足项目需求得40-30分；</w:t>
            </w:r>
          </w:p>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2、方案的科学性基本合理、可操作性一般、技术措施基本有效，基本满足项目需求得20-10分；</w:t>
            </w:r>
          </w:p>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3、方案的科学性欠合理、可操作性差、技术措施不满足项目需求得10-0分。</w:t>
            </w:r>
          </w:p>
        </w:tc>
        <w:tc>
          <w:tcPr>
            <w:tcW w:w="1483" w:type="dxa"/>
            <w:noWrap w:val="0"/>
            <w:vAlign w:val="center"/>
          </w:tcPr>
          <w:p>
            <w:pPr>
              <w:pStyle w:val="3"/>
              <w:jc w:val="center"/>
              <w:rPr>
                <w:rFonts w:hint="default"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3" w:type="dxa"/>
            <w:vMerge w:val="continue"/>
            <w:noWrap w:val="0"/>
            <w:vAlign w:val="center"/>
          </w:tcPr>
          <w:p>
            <w:pPr>
              <w:pStyle w:val="3"/>
              <w:rPr>
                <w:rFonts w:hint="eastAsia" w:ascii="宋体" w:hAnsi="宋体" w:eastAsia="宋体" w:cs="宋体"/>
                <w:color w:val="auto"/>
                <w:vertAlign w:val="baseline"/>
                <w:lang w:val="en-US" w:eastAsia="zh-CN"/>
              </w:rPr>
            </w:pPr>
          </w:p>
        </w:tc>
        <w:tc>
          <w:tcPr>
            <w:tcW w:w="953" w:type="dxa"/>
            <w:vMerge w:val="continue"/>
            <w:noWrap w:val="0"/>
            <w:vAlign w:val="center"/>
          </w:tcPr>
          <w:p>
            <w:pPr>
              <w:pStyle w:val="3"/>
              <w:rPr>
                <w:rFonts w:hint="eastAsia" w:ascii="宋体" w:hAnsi="宋体" w:eastAsia="宋体" w:cs="宋体"/>
                <w:color w:val="auto"/>
                <w:vertAlign w:val="baseline"/>
                <w:lang w:val="en-US" w:eastAsia="zh-CN"/>
              </w:rPr>
            </w:pPr>
          </w:p>
        </w:tc>
        <w:tc>
          <w:tcPr>
            <w:tcW w:w="4884" w:type="dxa"/>
            <w:noWrap w:val="0"/>
            <w:vAlign w:val="center"/>
          </w:tcPr>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搬迁应急预案:</w:t>
            </w:r>
          </w:p>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1、根据本项目的实际情况拟定应急预案的完整性、科学性、合理性进行综评判，应急预案的完整性好、科学性合理、合理性强得6-3分；</w:t>
            </w:r>
          </w:p>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2、应急预案的完整性一般、科学性基本合理、合理性一般得2-1分；</w:t>
            </w:r>
          </w:p>
          <w:p>
            <w:pPr>
              <w:pStyle w:val="3"/>
              <w:rPr>
                <w:rFonts w:hint="eastAsia" w:ascii="宋体" w:hAnsi="宋体" w:eastAsia="宋体" w:cs="宋体"/>
                <w:color w:val="auto"/>
                <w:kern w:val="2"/>
                <w:sz w:val="21"/>
                <w:szCs w:val="22"/>
                <w:vertAlign w:val="baseline"/>
                <w:lang w:val="en-US" w:eastAsia="zh-CN" w:bidi="ar-SA"/>
              </w:rPr>
            </w:pPr>
            <w:r>
              <w:rPr>
                <w:rFonts w:hint="eastAsia" w:ascii="宋体" w:hAnsi="宋体" w:eastAsia="宋体" w:cs="宋体"/>
                <w:color w:val="auto"/>
                <w:vertAlign w:val="baseline"/>
                <w:lang w:val="en-US" w:eastAsia="zh-CN"/>
              </w:rPr>
              <w:t>3、应急预案的完整性差、科学性不合理、合理性差得0分。</w:t>
            </w:r>
          </w:p>
        </w:tc>
        <w:tc>
          <w:tcPr>
            <w:tcW w:w="1483" w:type="dxa"/>
            <w:noWrap w:val="0"/>
            <w:vAlign w:val="center"/>
          </w:tcPr>
          <w:p>
            <w:pPr>
              <w:pStyle w:val="3"/>
              <w:jc w:val="center"/>
              <w:rPr>
                <w:rFonts w:hint="eastAsia" w:ascii="宋体" w:hAnsi="宋体" w:eastAsia="宋体" w:cs="宋体"/>
                <w:color w:val="auto"/>
                <w:kern w:val="2"/>
                <w:sz w:val="21"/>
                <w:szCs w:val="22"/>
                <w:vertAlign w:val="baseline"/>
                <w:lang w:val="en-US" w:eastAsia="zh-CN" w:bidi="ar-SA"/>
              </w:rPr>
            </w:pPr>
            <w:r>
              <w:rPr>
                <w:rFonts w:hint="eastAsia" w:ascii="宋体" w:hAnsi="宋体" w:eastAsia="宋体" w:cs="宋体"/>
                <w:color w:val="auto"/>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vMerge w:val="restart"/>
            <w:noWrap w:val="0"/>
            <w:vAlign w:val="center"/>
          </w:tcPr>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商务分</w:t>
            </w:r>
          </w:p>
        </w:tc>
        <w:tc>
          <w:tcPr>
            <w:tcW w:w="953" w:type="dxa"/>
            <w:vMerge w:val="restart"/>
            <w:noWrap w:val="0"/>
            <w:vAlign w:val="center"/>
          </w:tcPr>
          <w:p>
            <w:pPr>
              <w:pStyle w:val="3"/>
              <w:rPr>
                <w:rFonts w:hint="default"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24</w:t>
            </w:r>
          </w:p>
        </w:tc>
        <w:tc>
          <w:tcPr>
            <w:tcW w:w="4884" w:type="dxa"/>
            <w:noWrap w:val="0"/>
            <w:vAlign w:val="center"/>
          </w:tcPr>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公司资质：</w:t>
            </w:r>
          </w:p>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投标服务商需要拥有交通部门颁发的《道路运输经营许可证》、投标服务商具有《劳务派遣证》、投标服务商具有质量管理体系认证证书（许可范围包含劳务派遣）、投标服务商具有环境管理体系认证证书（许可范围包含劳务派遣）、投标服务商具有职业健康安全管理体系认证证书（许可范围包含劳务派遣）</w:t>
            </w:r>
            <w:r>
              <w:rPr>
                <w:rFonts w:hint="eastAsia" w:ascii="宋体" w:hAnsi="宋体" w:eastAsia="宋体" w:cs="宋体"/>
                <w:color w:val="auto"/>
                <w:lang w:val="en-US" w:eastAsia="zh-CN"/>
              </w:rPr>
              <w:t>、</w:t>
            </w:r>
            <w:r>
              <w:rPr>
                <w:rFonts w:hint="eastAsia" w:ascii="宋体" w:hAnsi="宋体" w:eastAsia="宋体" w:cs="宋体"/>
                <w:color w:val="auto"/>
                <w:vertAlign w:val="baseline"/>
                <w:lang w:val="en-US" w:eastAsia="zh-CN"/>
              </w:rPr>
              <w:t>每提供一项得4分，满分20分，不提供不得分。</w:t>
            </w:r>
          </w:p>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注：须提供相应证明材料并加盖单位公章。</w:t>
            </w:r>
          </w:p>
        </w:tc>
        <w:tc>
          <w:tcPr>
            <w:tcW w:w="1483" w:type="dxa"/>
            <w:noWrap w:val="0"/>
            <w:vAlign w:val="center"/>
          </w:tcPr>
          <w:p>
            <w:pPr>
              <w:pStyle w:val="3"/>
              <w:jc w:val="center"/>
              <w:rPr>
                <w:rFonts w:hint="default"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vMerge w:val="continue"/>
            <w:noWrap w:val="0"/>
            <w:vAlign w:val="center"/>
          </w:tcPr>
          <w:p>
            <w:pPr>
              <w:pStyle w:val="3"/>
              <w:rPr>
                <w:rFonts w:hint="eastAsia" w:ascii="宋体" w:hAnsi="宋体" w:eastAsia="宋体" w:cs="宋体"/>
                <w:color w:val="auto"/>
                <w:vertAlign w:val="baseline"/>
                <w:lang w:val="en-US" w:eastAsia="zh-CN"/>
              </w:rPr>
            </w:pPr>
          </w:p>
        </w:tc>
        <w:tc>
          <w:tcPr>
            <w:tcW w:w="953" w:type="dxa"/>
            <w:vMerge w:val="continue"/>
            <w:noWrap w:val="0"/>
            <w:vAlign w:val="center"/>
          </w:tcPr>
          <w:p>
            <w:pPr>
              <w:pStyle w:val="3"/>
              <w:rPr>
                <w:rFonts w:hint="eastAsia" w:ascii="宋体" w:hAnsi="宋体" w:eastAsia="宋体" w:cs="宋体"/>
                <w:color w:val="auto"/>
                <w:vertAlign w:val="baseline"/>
                <w:lang w:val="en-US" w:eastAsia="zh-CN"/>
              </w:rPr>
            </w:pPr>
          </w:p>
        </w:tc>
        <w:tc>
          <w:tcPr>
            <w:tcW w:w="4884" w:type="dxa"/>
            <w:noWrap w:val="0"/>
            <w:vAlign w:val="center"/>
          </w:tcPr>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类似业绩：</w:t>
            </w:r>
          </w:p>
          <w:p>
            <w:pPr>
              <w:pStyle w:val="3"/>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1、提供实验室搬迁的业绩。每提供一份得2分，满分4分。须提供有效的合同复印件；（复印件加盖投标单位公章，原件备查）</w:t>
            </w:r>
          </w:p>
        </w:tc>
        <w:tc>
          <w:tcPr>
            <w:tcW w:w="1483" w:type="dxa"/>
            <w:noWrap w:val="0"/>
            <w:vAlign w:val="center"/>
          </w:tcPr>
          <w:p>
            <w:pPr>
              <w:pStyle w:val="3"/>
              <w:jc w:val="center"/>
              <w:rPr>
                <w:rFonts w:hint="eastAsia" w:ascii="宋体" w:hAnsi="宋体" w:eastAsia="宋体" w:cs="宋体"/>
                <w:color w:val="auto"/>
                <w:vertAlign w:val="baseline"/>
                <w:lang w:val="en-US" w:eastAsia="zh-CN"/>
              </w:rPr>
            </w:pPr>
            <w:r>
              <w:rPr>
                <w:rFonts w:hint="eastAsia" w:ascii="宋体" w:hAnsi="宋体" w:eastAsia="宋体" w:cs="宋体"/>
                <w:color w:val="auto"/>
                <w:vertAlign w:val="baseline"/>
                <w:lang w:val="en-US" w:eastAsia="zh-CN"/>
              </w:rPr>
              <w:t>4</w:t>
            </w:r>
          </w:p>
        </w:tc>
      </w:tr>
    </w:tbl>
    <w:p>
      <w:pPr>
        <w:numPr>
          <w:ilvl w:val="0"/>
          <w:numId w:val="0"/>
        </w:numPr>
        <w:ind w:firstLine="640" w:firstLineChars="200"/>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八、服务商确定原则</w:t>
      </w:r>
    </w:p>
    <w:p>
      <w:pPr>
        <w:pStyle w:val="2"/>
        <w:numPr>
          <w:ilvl w:val="0"/>
          <w:numId w:val="0"/>
        </w:numPr>
        <w:ind w:firstLine="640" w:firstLineChars="200"/>
        <w:rPr>
          <w:rFonts w:hint="eastAsia" w:ascii="仿宋_GB2312" w:hAnsi="仿宋_GB2312" w:eastAsia="仿宋_GB2312" w:cs="仿宋_GB2312"/>
          <w:color w:val="auto"/>
          <w:sz w:val="32"/>
          <w:szCs w:val="28"/>
          <w:lang w:val="en-US" w:eastAsia="zh-CN"/>
        </w:rPr>
      </w:pPr>
      <w:r>
        <w:rPr>
          <w:rFonts w:hint="eastAsia" w:ascii="仿宋_GB2312" w:hAnsi="仿宋_GB2312" w:eastAsia="仿宋_GB2312" w:cs="仿宋_GB2312"/>
          <w:color w:val="auto"/>
          <w:sz w:val="32"/>
          <w:szCs w:val="28"/>
          <w:lang w:val="en-US" w:eastAsia="zh-CN"/>
        </w:rPr>
        <w:t>在满足项目服务要求的前提下，评分最高者中标。</w:t>
      </w:r>
    </w:p>
    <w:p>
      <w:pPr>
        <w:rPr>
          <w:rFonts w:hint="eastAsia" w:ascii="宋体" w:hAnsi="宋体" w:eastAsia="宋体" w:cs="宋体"/>
          <w:color w:val="auto"/>
          <w:sz w:val="28"/>
          <w:szCs w:val="28"/>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zMzQwNTBkYjkxYTQ0MmIxZjFmZjdmMTQyYmUwZjgifQ=="/>
  </w:docVars>
  <w:rsids>
    <w:rsidRoot w:val="00796F4A"/>
    <w:rsid w:val="00014441"/>
    <w:rsid w:val="000261BE"/>
    <w:rsid w:val="0004759E"/>
    <w:rsid w:val="000553A5"/>
    <w:rsid w:val="00093D26"/>
    <w:rsid w:val="000A34CB"/>
    <w:rsid w:val="000B43D3"/>
    <w:rsid w:val="00131134"/>
    <w:rsid w:val="00141C19"/>
    <w:rsid w:val="0019053A"/>
    <w:rsid w:val="002439F6"/>
    <w:rsid w:val="002716E9"/>
    <w:rsid w:val="002803FF"/>
    <w:rsid w:val="002C7DA7"/>
    <w:rsid w:val="00341B6F"/>
    <w:rsid w:val="003908F3"/>
    <w:rsid w:val="003A2DE0"/>
    <w:rsid w:val="00414964"/>
    <w:rsid w:val="00456E4C"/>
    <w:rsid w:val="004D1D80"/>
    <w:rsid w:val="00520189"/>
    <w:rsid w:val="00523DFD"/>
    <w:rsid w:val="00573078"/>
    <w:rsid w:val="005C105A"/>
    <w:rsid w:val="006923F4"/>
    <w:rsid w:val="006E4B0B"/>
    <w:rsid w:val="006F4B04"/>
    <w:rsid w:val="007040BB"/>
    <w:rsid w:val="00712C35"/>
    <w:rsid w:val="007132DB"/>
    <w:rsid w:val="00713955"/>
    <w:rsid w:val="00796F4A"/>
    <w:rsid w:val="008A7A68"/>
    <w:rsid w:val="008C4F30"/>
    <w:rsid w:val="008E5552"/>
    <w:rsid w:val="008E68BD"/>
    <w:rsid w:val="009067FD"/>
    <w:rsid w:val="00923A0F"/>
    <w:rsid w:val="00962586"/>
    <w:rsid w:val="00991404"/>
    <w:rsid w:val="009B773E"/>
    <w:rsid w:val="00A34466"/>
    <w:rsid w:val="00A4094E"/>
    <w:rsid w:val="00A673B7"/>
    <w:rsid w:val="00AD159F"/>
    <w:rsid w:val="00AE4134"/>
    <w:rsid w:val="00B54193"/>
    <w:rsid w:val="00B653A5"/>
    <w:rsid w:val="00B80CBD"/>
    <w:rsid w:val="00BA45A5"/>
    <w:rsid w:val="00BB6B34"/>
    <w:rsid w:val="00C10D09"/>
    <w:rsid w:val="00C56194"/>
    <w:rsid w:val="00CA2906"/>
    <w:rsid w:val="00D47B72"/>
    <w:rsid w:val="00DA60D2"/>
    <w:rsid w:val="00E42260"/>
    <w:rsid w:val="00E671D3"/>
    <w:rsid w:val="00EA2A55"/>
    <w:rsid w:val="00F01321"/>
    <w:rsid w:val="00F267B6"/>
    <w:rsid w:val="00F3296B"/>
    <w:rsid w:val="00F451BB"/>
    <w:rsid w:val="00F537EE"/>
    <w:rsid w:val="00FA003E"/>
    <w:rsid w:val="0237E994"/>
    <w:rsid w:val="033C0B2B"/>
    <w:rsid w:val="0A430813"/>
    <w:rsid w:val="0D0F9F61"/>
    <w:rsid w:val="17250565"/>
    <w:rsid w:val="17FB03A9"/>
    <w:rsid w:val="1BFD5436"/>
    <w:rsid w:val="1DFF1148"/>
    <w:rsid w:val="1F7F4E71"/>
    <w:rsid w:val="208C750E"/>
    <w:rsid w:val="26EF5D9D"/>
    <w:rsid w:val="33F78B85"/>
    <w:rsid w:val="33FC13B7"/>
    <w:rsid w:val="36EC458A"/>
    <w:rsid w:val="385C2C1A"/>
    <w:rsid w:val="3B3D5D1A"/>
    <w:rsid w:val="3CA716B7"/>
    <w:rsid w:val="41907D5C"/>
    <w:rsid w:val="47F68418"/>
    <w:rsid w:val="4C9F046B"/>
    <w:rsid w:val="4DB31494"/>
    <w:rsid w:val="577E9F16"/>
    <w:rsid w:val="57F18B01"/>
    <w:rsid w:val="58FF13A2"/>
    <w:rsid w:val="5A1408C4"/>
    <w:rsid w:val="5BFF8316"/>
    <w:rsid w:val="5DDD25E3"/>
    <w:rsid w:val="5E6C14B0"/>
    <w:rsid w:val="5FFD6D7A"/>
    <w:rsid w:val="6B7E57D9"/>
    <w:rsid w:val="6DAE3EF6"/>
    <w:rsid w:val="6DF4EAF7"/>
    <w:rsid w:val="6EB011EB"/>
    <w:rsid w:val="6F27B25F"/>
    <w:rsid w:val="6FFFB810"/>
    <w:rsid w:val="73C36D68"/>
    <w:rsid w:val="73DDD795"/>
    <w:rsid w:val="756ADA69"/>
    <w:rsid w:val="77D3C4B1"/>
    <w:rsid w:val="77F613C9"/>
    <w:rsid w:val="7B730BD6"/>
    <w:rsid w:val="7BE9DBB8"/>
    <w:rsid w:val="7BEED533"/>
    <w:rsid w:val="7BF7168B"/>
    <w:rsid w:val="7CBDA100"/>
    <w:rsid w:val="7D4FC64C"/>
    <w:rsid w:val="7DAE09A3"/>
    <w:rsid w:val="7DFFB391"/>
    <w:rsid w:val="7F5F6CD8"/>
    <w:rsid w:val="7F673283"/>
    <w:rsid w:val="7F6C2F5B"/>
    <w:rsid w:val="7F6F3249"/>
    <w:rsid w:val="7FED66F8"/>
    <w:rsid w:val="8FEE34A1"/>
    <w:rsid w:val="8FFF500B"/>
    <w:rsid w:val="9677126F"/>
    <w:rsid w:val="9DF7E75D"/>
    <w:rsid w:val="9EDEACDF"/>
    <w:rsid w:val="9FFD41C1"/>
    <w:rsid w:val="9FFF3AB1"/>
    <w:rsid w:val="A7BDE0E0"/>
    <w:rsid w:val="AB95574A"/>
    <w:rsid w:val="AE769463"/>
    <w:rsid w:val="B3CEF625"/>
    <w:rsid w:val="BDEE97E0"/>
    <w:rsid w:val="BFECBA8A"/>
    <w:rsid w:val="CEBC13B5"/>
    <w:rsid w:val="CEDB7404"/>
    <w:rsid w:val="CFF73760"/>
    <w:rsid w:val="D27947F1"/>
    <w:rsid w:val="D923924E"/>
    <w:rsid w:val="DB0FEFD4"/>
    <w:rsid w:val="DBFC286B"/>
    <w:rsid w:val="DD473075"/>
    <w:rsid w:val="DDBF758F"/>
    <w:rsid w:val="DDF38378"/>
    <w:rsid w:val="DDFB398E"/>
    <w:rsid w:val="DFAB3485"/>
    <w:rsid w:val="DFFD5669"/>
    <w:rsid w:val="E4EE5C55"/>
    <w:rsid w:val="E703F960"/>
    <w:rsid w:val="E8F17FE7"/>
    <w:rsid w:val="EDAE4361"/>
    <w:rsid w:val="EDEE104D"/>
    <w:rsid w:val="EDEED352"/>
    <w:rsid w:val="EDF9C835"/>
    <w:rsid w:val="EFC6FB29"/>
    <w:rsid w:val="EFD65C91"/>
    <w:rsid w:val="EFEF5A7B"/>
    <w:rsid w:val="EFF7349A"/>
    <w:rsid w:val="EFFD3394"/>
    <w:rsid w:val="F11E1A4A"/>
    <w:rsid w:val="F57FB3D3"/>
    <w:rsid w:val="F5BF5308"/>
    <w:rsid w:val="F5FFE440"/>
    <w:rsid w:val="F6E26424"/>
    <w:rsid w:val="F7B9CE02"/>
    <w:rsid w:val="F7FAD793"/>
    <w:rsid w:val="FA47F856"/>
    <w:rsid w:val="FB574B8B"/>
    <w:rsid w:val="FBEF04BE"/>
    <w:rsid w:val="FC2C61DE"/>
    <w:rsid w:val="FDF1B0B7"/>
    <w:rsid w:val="FEF73DC6"/>
    <w:rsid w:val="FF658562"/>
    <w:rsid w:val="FFB3C465"/>
    <w:rsid w:val="FFCDA117"/>
    <w:rsid w:val="FFE721AD"/>
    <w:rsid w:val="FFEFCBD2"/>
    <w:rsid w:val="FFFB7C66"/>
    <w:rsid w:val="FFFEA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pPr>
    <w:rPr>
      <w:rFonts w:ascii="Times New Roman" w:hAnsi="Times New Roman"/>
      <w:szCs w:val="20"/>
    </w:rPr>
  </w:style>
  <w:style w:type="paragraph" w:styleId="3">
    <w:name w:val="Body Text"/>
    <w:basedOn w:val="1"/>
    <w:next w:val="4"/>
    <w:qFormat/>
    <w:uiPriority w:val="0"/>
    <w:pPr>
      <w:spacing w:afterLines="0" w:afterAutospacing="0"/>
    </w:pPr>
    <w:rPr>
      <w:rFonts w:ascii="Calibri" w:hAnsi="Calibri" w:cs="Times New Roman"/>
    </w:rPr>
  </w:style>
  <w:style w:type="paragraph" w:styleId="4">
    <w:name w:val="Body Text First Indent"/>
    <w:basedOn w:val="3"/>
    <w:qFormat/>
    <w:uiPriority w:val="0"/>
    <w:pPr>
      <w:spacing w:after="120"/>
      <w:ind w:firstLine="420" w:firstLineChars="100"/>
      <w:jc w:val="both"/>
    </w:pPr>
    <w:rPr>
      <w:sz w:val="21"/>
    </w:rPr>
  </w:style>
  <w:style w:type="paragraph" w:styleId="5">
    <w:name w:val="footer"/>
    <w:basedOn w:val="1"/>
    <w:link w:val="13"/>
    <w:semiHidden/>
    <w:unhideWhenUsed/>
    <w:qFormat/>
    <w:uiPriority w:val="99"/>
    <w:pPr>
      <w:tabs>
        <w:tab w:val="center" w:pos="4153"/>
        <w:tab w:val="right" w:pos="8306"/>
      </w:tabs>
      <w:snapToGrid w:val="0"/>
      <w:jc w:val="left"/>
    </w:pPr>
    <w:rPr>
      <w:sz w:val="18"/>
      <w:szCs w:val="18"/>
    </w:rPr>
  </w:style>
  <w:style w:type="paragraph" w:styleId="6">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semiHidden/>
    <w:unhideWhenUsed/>
    <w:qFormat/>
    <w:uiPriority w:val="99"/>
    <w:rPr>
      <w:color w:val="800080"/>
      <w:u w:val="single"/>
    </w:rPr>
  </w:style>
  <w:style w:type="character" w:styleId="11">
    <w:name w:val="Hyperlink"/>
    <w:basedOn w:val="9"/>
    <w:semiHidden/>
    <w:unhideWhenUsed/>
    <w:qFormat/>
    <w:uiPriority w:val="99"/>
    <w:rPr>
      <w:color w:val="0000FF"/>
      <w:u w:val="single"/>
    </w:rPr>
  </w:style>
  <w:style w:type="character" w:customStyle="1" w:styleId="12">
    <w:name w:val="页眉 Char"/>
    <w:basedOn w:val="9"/>
    <w:link w:val="6"/>
    <w:semiHidden/>
    <w:qFormat/>
    <w:uiPriority w:val="99"/>
    <w:rPr>
      <w:sz w:val="18"/>
      <w:szCs w:val="18"/>
    </w:rPr>
  </w:style>
  <w:style w:type="character" w:customStyle="1" w:styleId="13">
    <w:name w:val="页脚 Char"/>
    <w:basedOn w:val="9"/>
    <w:link w:val="5"/>
    <w:semiHidden/>
    <w:qFormat/>
    <w:uiPriority w:val="99"/>
    <w:rPr>
      <w:sz w:val="18"/>
      <w:szCs w:val="18"/>
    </w:rPr>
  </w:style>
  <w:style w:type="paragraph" w:customStyle="1" w:styleId="14">
    <w:name w:val="xl6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
    <w:name w:val="xl64"/>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16">
    <w:name w:val="xl65"/>
    <w:basedOn w:val="1"/>
    <w:qFormat/>
    <w:uiPriority w:val="0"/>
    <w:pPr>
      <w:widowControl/>
      <w:spacing w:before="100" w:beforeAutospacing="1" w:after="100" w:afterAutospacing="1"/>
      <w:jc w:val="left"/>
    </w:pPr>
    <w:rPr>
      <w:rFonts w:ascii="宋体" w:hAnsi="宋体" w:eastAsia="宋体" w:cs="宋体"/>
      <w:color w:val="0070C0"/>
      <w:kern w:val="0"/>
      <w:sz w:val="24"/>
      <w:szCs w:val="24"/>
    </w:rPr>
  </w:style>
  <w:style w:type="paragraph" w:customStyle="1" w:styleId="17">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1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19">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2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character" w:customStyle="1" w:styleId="21">
    <w:name w:val="font81"/>
    <w:basedOn w:val="9"/>
    <w:qFormat/>
    <w:uiPriority w:val="0"/>
    <w:rPr>
      <w:rFonts w:hint="default" w:ascii="Times New Roman" w:hAnsi="Times New Roman" w:cs="Times New Roman"/>
      <w:color w:val="000000"/>
      <w:sz w:val="20"/>
      <w:szCs w:val="20"/>
      <w:u w:val="none"/>
    </w:rPr>
  </w:style>
  <w:style w:type="character" w:customStyle="1" w:styleId="22">
    <w:name w:val="font11"/>
    <w:basedOn w:val="9"/>
    <w:qFormat/>
    <w:uiPriority w:val="0"/>
    <w:rPr>
      <w:rFonts w:hint="eastAsia" w:ascii="宋体" w:hAnsi="宋体" w:eastAsia="宋体" w:cs="宋体"/>
      <w:color w:val="000000"/>
      <w:sz w:val="20"/>
      <w:szCs w:val="20"/>
      <w:u w:val="none"/>
    </w:rPr>
  </w:style>
  <w:style w:type="character" w:customStyle="1" w:styleId="23">
    <w:name w:val="font91"/>
    <w:basedOn w:val="9"/>
    <w:qFormat/>
    <w:uiPriority w:val="0"/>
    <w:rPr>
      <w:rFonts w:ascii="方正书宋_GBK" w:hAnsi="方正书宋_GBK" w:eastAsia="方正书宋_GBK" w:cs="方正书宋_GBK"/>
      <w:color w:val="000000"/>
      <w:sz w:val="20"/>
      <w:szCs w:val="20"/>
      <w:u w:val="none"/>
    </w:rPr>
  </w:style>
  <w:style w:type="character" w:customStyle="1" w:styleId="24">
    <w:name w:val="font21"/>
    <w:basedOn w:val="9"/>
    <w:qFormat/>
    <w:uiPriority w:val="0"/>
    <w:rPr>
      <w:rFonts w:hint="eastAsia" w:ascii="宋体" w:hAnsi="宋体" w:eastAsia="宋体" w:cs="宋体"/>
      <w:color w:val="000000"/>
      <w:sz w:val="20"/>
      <w:szCs w:val="20"/>
      <w:u w:val="none"/>
    </w:rPr>
  </w:style>
  <w:style w:type="character" w:customStyle="1" w:styleId="25">
    <w:name w:val="font31"/>
    <w:basedOn w:val="9"/>
    <w:qFormat/>
    <w:uiPriority w:val="0"/>
    <w:rPr>
      <w:rFonts w:hint="default" w:ascii="Times New Roman" w:hAnsi="Times New Roman" w:cs="Times New Roman"/>
      <w:color w:val="000000"/>
      <w:sz w:val="20"/>
      <w:szCs w:val="20"/>
      <w:u w:val="none"/>
    </w:rPr>
  </w:style>
  <w:style w:type="character" w:customStyle="1" w:styleId="26">
    <w:name w:val="font71"/>
    <w:basedOn w:val="9"/>
    <w:qFormat/>
    <w:uiPriority w:val="0"/>
    <w:rPr>
      <w:rFonts w:hint="eastAsia" w:ascii="宋体" w:hAnsi="宋体" w:eastAsia="宋体" w:cs="宋体"/>
      <w:color w:val="000000"/>
      <w:sz w:val="20"/>
      <w:szCs w:val="20"/>
      <w:u w:val="none"/>
    </w:rPr>
  </w:style>
  <w:style w:type="character" w:customStyle="1" w:styleId="27">
    <w:name w:val="font61"/>
    <w:basedOn w:val="9"/>
    <w:qFormat/>
    <w:uiPriority w:val="0"/>
    <w:rPr>
      <w:rFonts w:hint="default" w:ascii="Times New Roman" w:hAnsi="Times New Roman" w:cs="Times New Roman"/>
      <w:color w:val="000000"/>
      <w:sz w:val="20"/>
      <w:szCs w:val="20"/>
      <w:u w:val="none"/>
    </w:rPr>
  </w:style>
  <w:style w:type="character" w:customStyle="1" w:styleId="28">
    <w:name w:val="font51"/>
    <w:basedOn w:val="9"/>
    <w:qFormat/>
    <w:uiPriority w:val="0"/>
    <w:rPr>
      <w:rFonts w:ascii="方正书宋_GBK" w:hAnsi="方正书宋_GBK" w:eastAsia="方正书宋_GBK" w:cs="方正书宋_GBK"/>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11</Pages>
  <Words>4783</Words>
  <Characters>6278</Characters>
  <Lines>23</Lines>
  <Paragraphs>6</Paragraphs>
  <TotalTime>11</TotalTime>
  <ScaleCrop>false</ScaleCrop>
  <LinksUpToDate>false</LinksUpToDate>
  <CharactersWithSpaces>6312</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2020-06-07T07:54:00Z</dcterms:created>
  <dc:creator>dell</dc:creator>
  <cp:lastModifiedBy>ysgz</cp:lastModifiedBy>
  <cp:lastPrinted>2023-05-17T01:01:00Z</cp:lastPrinted>
  <dcterms:modified xsi:type="dcterms:W3CDTF">2023-05-16T17:45:32Z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6B1BA03ECAB34D42A9B9805005E9FC8F_13</vt:lpwstr>
  </property>
</Properties>
</file>